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2BACC">
      <w:pPr>
        <w:tabs>
          <w:tab w:val="left" w:pos="720"/>
        </w:tabs>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1. GỐM MEN NGỌC, </w:t>
      </w:r>
      <w:r>
        <w:rPr>
          <w:rFonts w:ascii="Times New Roman" w:hAnsi="Times New Roman" w:cs="Times New Roman"/>
          <w:sz w:val="26"/>
          <w:szCs w:val="26"/>
        </w:rPr>
        <w:t xml:space="preserve">là loại gốm được làm từ chất liệu sành xốp hoặc sành trắng có phủ một lớp men màu với nhiều sắc độ như, màu lá đào non, màu da trời. Thời kỳ đầu của GMN màu sắc được tả là vũ quá thiên thanh (màu xanh da trời sau cơn mưa). Sở dĩ gọi là men ngọc, vì màu men gây ấn tượng của chất đá ngọc thạch có độ trong hơi đục và bóng mờ. Vì chỉ sử dụng một màu men ngọc, kết hợp với hoa văn vẽ nét chìm nên người ta còn gọi gốm men ngọc là gốm độc sắc. </w:t>
      </w:r>
    </w:p>
    <w:p w14:paraId="43050E22">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GMN là loại gốm đặc trưng của vùng Đông Á. Loại gốm này được sản xuất ở một số quốc gia như Trung Quốc, Triều Tiên, Nhật Bản, Thái Lan và Việt Nam nổi tiếng từ lâu đời.</w:t>
      </w:r>
    </w:p>
    <w:p w14:paraId="33FC0904">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Phần lớn các loại gốm men ngọc đều có xương đất mịn, dày và nặng, có loại nung ở lửa trung và có loại nung ở lửa cao. Vì vậy GMN có xương đất đã chớm chảy, khi gõ vào có tiếng thanh. Men trên các sản phẩm gốm men ngọc thường được tráng rất dày, xương đất có ngậm nhiều khoáng chất sắt, nên đôi chỗ men trên sản phẩm bị co, thì lộ ra lộ ra xương đất những mảng màu hung hung đỏ. Người Trung Quốc đã coi đặc điểm này là tiêu chuẩn đích thực của men ngọc. Tuy nhiên đối với gốm men ngọc Việt Nam thì không hoàn toàn như vậy.</w:t>
      </w:r>
    </w:p>
    <w:p w14:paraId="66F2B00C">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Trước đây GMN được cho là sản phẩm của gốm Tống, được đưa sang Việt. Tuy nhiên gốm men ngọc đã được xác định do Việt Nam sản xuất qua những cuộc đào bới tình cờ. Đầu những năm 30 của thế kỷ này trên công trường xây dựng đập Bái Thượng (Thanh Hoá) người ta đã đào được nhiều hiện vật gốm men ngọc còn nguyên vẹn, hoặc đã vỡ thành mảnh, bên cạnh nhiều loại đồ đồng cổ (trống đồng, tên đồng...). Tại những di chỉ khảo cổ khác trong tỉnh, đã phát hiện thêm khá nhiều đồ gốm men ngọc như, Nông Cống, Hoằng Hoá, Quảng Xương, Tĩnh Gia. Đáng lưu ý là bên cạnh những hiện vật nguyên vẹn, còn tìm được những bát, đĩa chồng lên nhau, và bị chảy dính vào nhau. Đây là những phế phẩm trong quá trình sản xuất. Điều này cho thấy Thanh Hoá là một trung tâm sản xuất gốm men ngọc sớm ở nước ta. Ngoài những sản phẩm GMN có nguồn gốc từ Trung Hoa, còn rất nhiều sản phẩm khác, với nghệ thuật tạo dáng và trang trí độc đáo, cho ta vẻ đẹp của gốm men ngọc Việt Nam đích thực.</w:t>
      </w:r>
    </w:p>
    <w:p w14:paraId="0758B526">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Một địa điểm khác có dấu tích của việc sản xuất GMN tại Việt Nam vào thời nhà Trần, đó là những phát hiện khảo cổ tại xã Mỹ Thịnh, Lộc Vượng, ngoại thành Nam Định (tỉnh Nam Định). Khu vực này xưa kia thuộc Phủ Thiên Trường (một khu cung điện của thời Trần), đã tìm được một số mảnh gốm vỡ và những bao nung đồ gốm. Trong những hiện vật đó, có một chiếc trôn bát mang bốn chữ màu nâu, “Thiên Trường phủ chế”, mảnh gốm này ngoài được phủ men ngọc, với hoa văn nét chìm hình cánh sen. Một số mảnh khác, cũng là chân đế trôn gốm, được bôi nâu, đặc điểm này đã được ghi nhận là thịnh hành vào cuối Trần và đầu Lê trên gốm hoa lam. Những viên ngói lợp phủ men xanh ngọc; những chiếc bao nung gốm tìm được từ một giếng cổ, những chồng bát đĩa phế phẩm dính chặt vào nhau. Các chứng tích ấy cho thấy khu phủ Thiên Trường trước đây từng có lò sản xuất gốm men ngọc với kỹ thuật cao với số lượng sản phẩm lớn. </w:t>
      </w:r>
    </w:p>
    <w:p w14:paraId="712A1EC9">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Những cuộc khai quật tại một số điểm thuộc khu vực Thăng Long cũ (Quần Ngựa), đã tìm được khá nhiều những chồng bát dính nhau, có hình dáng và trang trí như GMN, nhưng men ngả màu nâu hoặc  xanh nâu. Từ đó ta có thể khẳng định, trước và trong thời Lý - Trần, gốm ngen ngọc sản xuất tại Việt Nam đã đạt chất lượng kỹ thuật và nghệ thuật khá cao, dễ bị nhầm lẫn với cùng loại gốm ấy của Trung Hoa.</w:t>
      </w:r>
    </w:p>
    <w:p w14:paraId="77EBF6C2">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Tạo dáng sản phẩm GMN thường phỏng theo hình dáng các loại hoa, lá, quả trong thiên nhiên. Để thấy được đặc điểm này kỹ hơn, hãy điểm lại những chủng loại sản phẩm men ngọc Lý - Trần, chủ yếu là những đồ dùng cho ẩm thực. Bát men ngọc thời Lý - Trần có hình dáng không khác mấy so với các loại bát men nâu, men trắng với đặc trưng bát có thành xiên thẳng, có chân bát cao và nhỏ, trông giống như một cái hương sen khoẻ khoắn. Loại dáng bát này kết hợp với những hoạ tiết cánh sen nổi ở bên ngoài cho thấy sự ảnh hưởng của nghệ thuật Chăm Pa (vốn có nguồn gốc từ nghệ thuật ẤN ĐỘ), khác với những bát men ngọc của Trung Quốc. Loại bát thứ hai có bụng nở hơn, chân đế bát lớn hơn, dung tích chứa nhiều hơn, có thành bát thẳng hoặc hơi loe.</w:t>
      </w:r>
    </w:p>
    <w:p w14:paraId="1D76A68C">
      <w:pPr>
        <w:tabs>
          <w:tab w:val="left" w:pos="720"/>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drawing>
          <wp:inline distT="0" distB="0" distL="0" distR="0">
            <wp:extent cx="3869055" cy="2667635"/>
            <wp:effectExtent l="0" t="0" r="17145" b="18415"/>
            <wp:docPr id="233126722" name="Picture 233126722" descr="Image result for gốm men ngọc thời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26722" name="Picture 233126722" descr="Image result for gốm men ngọc thời l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89973" cy="2682460"/>
                    </a:xfrm>
                    <a:prstGeom prst="rect">
                      <a:avLst/>
                    </a:prstGeom>
                    <a:noFill/>
                    <a:ln>
                      <a:noFill/>
                    </a:ln>
                  </pic:spPr>
                </pic:pic>
              </a:graphicData>
            </a:graphic>
          </wp:inline>
        </w:drawing>
      </w:r>
    </w:p>
    <w:p w14:paraId="6BE01A3B">
      <w:pPr>
        <w:tabs>
          <w:tab w:val="left" w:pos="720"/>
        </w:tabs>
        <w:spacing w:after="0" w:line="288" w:lineRule="auto"/>
        <w:jc w:val="center"/>
        <w:rPr>
          <w:rFonts w:ascii="Times New Roman" w:hAnsi="Times New Roman" w:cs="Times New Roman"/>
          <w:i/>
          <w:sz w:val="26"/>
          <w:szCs w:val="26"/>
        </w:rPr>
      </w:pPr>
      <w:r>
        <w:rPr>
          <w:rFonts w:ascii="Times New Roman" w:hAnsi="Times New Roman" w:cs="Times New Roman"/>
          <w:i/>
          <w:sz w:val="26"/>
          <w:szCs w:val="26"/>
        </w:rPr>
        <w:t>Gốm men ngọc thời Lý</w:t>
      </w:r>
    </w:p>
    <w:p w14:paraId="0F5B2D51">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Các loại bát đĩa men ngọc được thành hình bằng phương pháp vuốt trên bàn xoay, nếu ta sờ tay phía trong và phía ngoài thấy rõ sự lượn sóng, dấu vết của việc vuốt thành hình này. Đặc biệt, khi để các loại bát có dáng cùng thời Lý - Trần như các loại bát men nâu, men trắng thì hầu hết với các loại bát đĩa men ngọc ở miệng bát đều tạo những khấc tạo thành những cánh hoa sen. Đối với các loại ấm men ngọc thường có dáng bầu bĩnh, với một thể chính tròn như hình quả dưa để đứng, thể phụ có kích thước nhỏ, nắp ấm được tạo hình giống như những lá sen ... những sản phẩm GMN ngoài thể chính còn có thể phụ và thể phụ thêm rõ hơn, đặc biệt là quai, vòi có kích thước lớn thuộc loại gốm men ngọc có sau.</w:t>
      </w:r>
    </w:p>
    <w:p w14:paraId="37E634D9">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Bố cục hoa văn trang trí trên GMN thường được vẽ cả mặt trong và mặt ngoài. Thường mặt trong hoa văn chi tiết và phức tạp hơn mặt ngoài. Mặt ngoài của sản phẩm đối với bát đĩa thường là những cánh sen nổi chạy vòng theo thân sản phẩm hoặc người ta vẽ hoa văn bằng những nét chìm hơi cong bằng dụng cụ có một hoặc hai đầu nhọn để tạo ở phía ngoài có những nét chìm hơi cong. Các hoa văn nét chìm này cũng có thể được kết hợp với những hoa văn nét chìm khác chạy vòng theo phía miệng ngoài sản phẩm. Tuỳ theo số lượng răng trên dụng cụ tạo nét mà ta có những vòng đồng tâm từ 3 đến 5 nét chìm. Người ta còn dùng dụng cụ có 3 răng để gạch chéo thêm trên những đường nét chìm đã vạch làm ta có cảm giác đó là những dải đồ án hoa văn hình học. Cũng có khi những sản phẩm GMN chỉ được trang trí phần trong lòng sản phẩm.</w:t>
      </w:r>
    </w:p>
    <w:p w14:paraId="15863A0F">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Hoa văn xuất hiện trên cả mặt ngoài lẫn trong lòng sản phẩm. Trên mặt ngoài, thường chạy một đường diềm cánh sen khép kín, lấy chân làm gốc, cánh hướng về phía miệng, chiếm hết mặt ngoài thân hiện vật. Cũng có trường hợp ven cánh bát lại thêm một đường diềm khép kín. Hoa văn trang trí trong lòng bát đĩa, thường được bố cục theo mấy cách, tuỳ từng sản phẩm, bố cục mảng tròn, với những hoạ tiết sắp xếp tự do, lấy một vài đường lượn làm chủ đạo; bố cục mảng tròn, với một hoặc hai hoạ tiết đối xứng giả, nối tiếp nhau (đối xứng tịnh tiến tròn); bố cục có thể tạm coi là đối xứng trục mà bạc lớn hơn 2). Trên một số ấm, liễn, có nhiều dải đồ án đơn giản bao quanh thân, hoặc khía ô dọc, bố cục này giống lối bố cục trên thạp và liễn gốm hoa nâu.</w:t>
      </w:r>
    </w:p>
    <w:p w14:paraId="596E0107">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Trang trí GMN chủ yếu là vẽ bằng nét khắc chìm trên sản phẩm. Có thể dùng chữ vẽ, dù là bằng nét khắc chứ không phải nét bút, Bởi lẽ, người trang trí thường phóng tay vẽ một hơi, chứ không tỉa tót, tỉ mẩn, khiến nét khắc có chỗ sâu, chỗ nông, nét to, nét nhỏ, khác nào vẽ có chỗ đậm, chỗ nhạt. Mà trên thực tế, sau khi sản phẩm được tráng men, những chỗ sâu, chỗ nông đó cũng tạo nên độ đậm nhạt cho hoa văn. Lối vẽ chìm này từng có mặt trên gốm hoa nâu. Tuy vậy, nét vẽ trên gốm hoa nâu có vẻ chân phương nhưng chưa linh hoạt. Với gốm men ngọc, nét vẽ trên gốm đã được nâng cao và trau vuốt hơn. Thợ gốm thuộc hoa văn và vẽ theo trí nhớ với cảm hứng khá phóng túng của mình, nên nét vẽ rất có hồn.</w:t>
      </w:r>
    </w:p>
    <w:p w14:paraId="6C2A507E">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Đặc điểm của nét vẽ trên GMN là bên sâu, bên nông, bên sâu tạo thành gờ, cạnh nổi rõ, còn bên nông thì mờ biến vào sản phẩm. Đầu và cuối nét vẽ cũng vậy. Có khi đầu nét thì sâu, nhưng nét cứ mờ dần ở phần cuối. Gốm nét chìm rất đẹp,  nhưng cách khắc thế nào? Câu hỏi này dường như chưa có lời giải đáp thống nhất. Có người cho rằng thợ gốm Lý - Trần trực tiếp khắc chìm trên xương đất còn mềm, do đó đường nét rất lưu loát, phóng khoáng, tự nhiên. </w:t>
      </w:r>
    </w:p>
    <w:p w14:paraId="2E5EE1A5">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Qua thực tế sản xuất, chúng tôi thấy không phải như vậy, vì khi vẽ lên xương đất còn mềm lại tạo ra hiệu quả kém hơn, so với vẽ lên xương đất gần khô hay đã khô. Cũng có khi nét được vẽ mờ dần và biến vào sản phẩm, chỉ rõ ở phần giữa nét tạo nên sự biến ảo cho đường nét. Lối vẽ nét sáng tạo này làm cho hoa văn khi ẩn khi hiện dưới lớp men dầy, khác với lối khắc đều nét kém phần linh hoạt hơn. Nhưng không phải sản phẩm gốm men ngọc nào cũng trang trí bằng tay như vừa nói trên, có một số trường hợp hoa văn gồm nhiều hoạ tiết phức tạp, mỗi hoạ tiết lại gồm nhiều chi tiết, người trang trí phải thể hiện hoa văn bằng khuôn in nên nét hoa văn kém linh hoạt. Tuy nhiên, lối in hoa văn bằng khuôn in cho phép sản xuất hàng loạt với số lượng lớn, hình thù hoa văn trên các sản phẩm đồng đều hơn.</w:t>
      </w:r>
    </w:p>
    <w:p w14:paraId="090331C4">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Đáng lưu ý, khi in hoa văn bằng khuôn in trong lòng bát đĩa, thì khuôn in hoa văn không thể là khuôn ngửa, mà phải dùng kiểu khuôn úp. In úp là một phương pháp cho đến nay vẫn được xem là khá tiên tiến. Vậy nên, tôi cho rằng hoa văn trong lòng bát đĩa  GMN trước đây chủ yếu được tạo bằng tay cho từng sản phẩm đơn lẻ.</w:t>
      </w:r>
    </w:p>
    <w:p w14:paraId="5A98CFDE">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Trong một số trường hợp khác, người trang trí gốm men ngọc phối hợp kỹ thuật khắc chìm với kỹ thuật đắp nổi. Ngoài những đồ án hoa lá được khắc chìm, ví như hoa dây chạy quanh lòng bát đĩa, còn có một con rùa hay đôi cá đắp nổi nối đuôi nhau uốn mình bơi quanh. Đối với các loại đĩa, người ta lại sử dụng nhiều hoa văn in nổi như đã dùng nhiều trong gốm men xanh đồng, tuy nhiên các hoa văn này thường được tạo ra một cách tinh tế hơn, mảng to nhỏ thay đổi nhịp nhàng hơn, đặc biệt có những hoa văn như, chim phượng, sóng nước ... không thấy có ở những loại gốm men màu cùng thời khác.</w:t>
      </w:r>
    </w:p>
    <w:p w14:paraId="336B632C">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Trên GMN chỉ có một loại màu men, nhưng hiệu quả nghệ thuật của nó lại rất cao, chất lung linh của hoạ tiết khiến nó lúc ẩn,  lúc hiện, lúc sâu thẳm, lúc nhòa dần, xem không chán mắt. GMN, tên gọi ấy nêu bật vị trí của men trên sản phẩm. Ở đây, men không chỉ là lớp xác bọc xương đất, để cho mặt gốm nhẵn, bóng láng, hợp vệ sinh, mà bản thân men đã mang ý nghĩa trang trí rồi. Men ngọc có độ thuỷ tinh hoá cao. Chính độ trong này của men tạo độ sâu cho hoạ tiết trang trí, làm cho hoa văn ẩn hiện, lung linh. Độ trong của men rất tế nhị, khác với độ trong của thuỷ tinh. Có thể ví độ trong của loại men ngọc với độ trong mờ khó tả của ngọc thạch, chiều sâu của men hút mắt người xem, dường như không còn có giới hạn của xương đất nữa. Men ngọc có độ linh động khá cao, vì thế, khi được phủ lên xương đất đã chạm khắc, thì quá trình chảy làm cho men dồn xuống, lấp những nét lõm của hoa văn, tạo nên những độ đậm nhạt cho nét thêm uyển chuyển, mềm mại. Ngay cả trong trường hợp men chảy dồn thành giọt, thậm chí thành cục ở thân sản phẩm (ngấn lệ) thì những chỗ chảy đó, với nhiều sắc độ khác nhau trong một khối con, càng tăng vẻ đẹp độc đáo của màu men. Tóm lại, ở GMN, men vừa là yếu tố tạo nên màu sắc, vừa là yếu tố tạo nên độ đậm nhạt trở thành yếu tố trang trí duy nhất cho toàn bộ sản phẩm.</w:t>
      </w:r>
    </w:p>
    <w:p w14:paraId="39C85B90">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Đáng lưu ý là việc làm GMN trải qua nhiều khâu phức tạp, cho đến nay các bí quyết để làm gốm men ngọc đã thất truyền. Vì vậy, các sản phẩm GMN đích thực còn lại rất hiếm và quý. Ngay ở Trung Quốc, một cường quốc đồ gốm mà gốm men ngọc truyền thống cũng chấm dứt sản xuất từ đời nhà Thanh vào cuối thế kỷ XVII. Vì vậy, người ta gán cho nó những điều bí ẩn. Người Ba Tư và người Thổ Nhĩ Kỳ cho rằng bát đĩa bằng gốm men ngọc có khả năng phát hiện chất độc trong đồ ăn uống (?)</w:t>
      </w:r>
    </w:p>
    <w:p w14:paraId="566D6F37">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Xuất hiện ở một số nước phương Đông, rồi được nhiều nước trên thế giới ưa chuộng, gốm men ngọc đã có nhiều tên gọi khác nhau, tuỳ trình độ hiểu biết, ý thức của người dùng, hoặc lịch sử xuất hiện của hiện vật. Chẳng hạn, men ngọc thường được gọi là men Đông Thanh, hay men Xêlađông (Céladon), men Long Tuyền, men xanh đồ Tống (Tống Thanh Từ). Tên gọi gốm men ngọc, dù mới ra đời trong những năm gần đây ở Việt Nam lại có sức thuyết phục nhất. GMN được tráng một lớp men dày (có thể đến 1mm), có độ sâu và trong, tiêng kêu thanh, sờ mát tay, nhìn dịu mắt, loại gốm này khiến ta liên tưởng đến ngọc thạch. Gần đây, thuật ngữ ấy đã trở thành phổ biến trong giới nghiên cứu khảo cổ, bảo tàng và sáng tác gốm ở nước ta.</w:t>
      </w:r>
    </w:p>
    <w:p w14:paraId="3F506AE5">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Người Trung Hoa xưa giấu bí quyết của họ, đánh lạc hướng việc đi tìm hiểu về men ngọc. Vì vậy có rất nhiều điều kỳ bí được gán cho GMN. Có sách còn viết rằng men ngọc là phấn ngọc thạch đem phủ áo lên cốt sành (!), nghĩa là nó được chế tạo từ nguyên liệu hiếm và quý, thậm chí người ta bảo rằng, để làm ra men gốm thuý hồng, phải dùng máu của người trinh nữ... Thực ra, tại nhiều nước ở châu Á, men ngọc làm từ đất có lẫn nhiều ôxit sắt dạng tự nhiên với gốc silicát cộng với kiềm. Yếu tố ngẫu nhiên khi chế men, cũng như trong quá trình nung, đã giúp cho người làm gốm đi sâu, định ra được công thức men hoàn chỉnh, lại thêm bí quyết điều khiển lửa điêu luyện đã nâng chất lượng gốm men ngọc lên đến độ tinh khiết. </w:t>
      </w:r>
    </w:p>
    <w:p w14:paraId="0B21ABD6">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Trở lại vấn đề men, ta chưa quên rằng ôxit sắt đã cho ta màu nâu trên gốm hoa nâu. Nhưng cũng chính ôxit sắt lại cho ta màu xanh trên GMN. Không có gì lạ, ôxit sắt hiện lên dưới nhiều dạng khác nhau (Feo, Fe2O3, Fe3O4). Sự thu hút ánh sáng của sóng trường khác nhau từ dạng này qua dạng kia. Và kết quả cuối cùng, men và màu men cũng biến đổi tuỳ dạng, FeO cho ta màu xanh; trái lại Fe2O3 cho ta màu nâu, hay hơi vàng úa...</w:t>
      </w:r>
    </w:p>
    <w:p w14:paraId="25C9DFA6">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Men cho GMN là loại men chảy, và có màu nhẹ. Men phải tráng dày, màu mới sâu và mượt. Qua thực nghiệm cho thấy, nếu độ dầy cần thiết của men trắng phủ kín xương đất được biểu hiện bằng con số 1, thì độ dầy của men ngọc phải là 5 đến 7 để có màu xanh đẹp. Tráng men quá dầy như thế chính là điều “kỵ” đối với kỹ thuật gốm nói chung, xương đất có thể vì quá ngấm nước mà nứt, vỡ; dễ có hiện tượng men rạn và bong; thao tác không dễ dàng.</w:t>
      </w:r>
    </w:p>
    <w:p w14:paraId="4C95B1E7">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Lò nung có tác dụng quyết định đối với màu men, nếu là lửa hoàn nguyên, lửa khử ôxy, lửa có nhiều các bon thì được men xanh, với lửa ôxy, lửa cháy trong điều kiện thừa ôxy thì men ngả màu nâu nhạt. Còn lửa bị chi phối cả hai chiều thì cho ta màu vàng úa.</w:t>
      </w:r>
    </w:p>
    <w:p w14:paraId="25D6D984">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Thực nghiệm cho thấy, nếu nung men ở lửa hoàn nguyên càng mạnh thì màu xanh của men càng đẹp. Ngay với men tro, nếu tráng men cho dầy, cũng được một màu xanh gần với xanh men ngọc, vì trong men tro có lẫn nhiều ôxit sắt và ôxit silíc. Vị trí của từng sản phẩm ở trong lò cũng quyết định sắc độ xanh của màu men, cùng một công thức men, cùng một nhiệt độ nhưng lửa hoàn nguyên không đều, chỗ yếu, chỗ mạnh, thường thì sản phẩm ở hai bên cạnh lò xanh hơn sản phẩm ở giữa. Hơn nữa, khi nung xong, nếu mở ngay cửa lò cho chóng nguội, thì số hiện vật đạt màu xanh ngọc cũng chiếm một tỉ lệ cao, nhưng có thể làm rạn men. Cùng một công thức men ngọc, nhưng do tác động của thao tác, độ dầy của men, của lò nung, mà có thể có nhiều màu sắc khác nhau, từ xanh đến nâu nhạt, hoặc nâu sẫm. Men của GMN Việt Nam là men đất và men tro, do đó độ trong và độ tinh khiết của men thường không cao. Men được tráng dầy nên dễ bong ngay khi chưa nung, hoặc khi nung ở nhiệt độ caom men bị co và chảy thành giọt, còn gọi là ngấn lệ. </w:t>
      </w:r>
    </w:p>
    <w:p w14:paraId="3E635453">
      <w:pPr>
        <w:tabs>
          <w:tab w:val="left" w:pos="720"/>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Thưởng thức vẻ đẹp GMN, là thưởng ngoạn loại gốm có vẻ đẹp quý phái, tinh tế, số lượng sản xuất ít và thường phục vụ các tầng lớp trên của xã hội, bởi kỹ thuật sản xuất từ trang trí đến làm men và nung không phải dễ dàng, nhất là đối với các sản phẩm lớn. Vẻ đẹp của GMN là vẻ đẹp của sự phối hợp giữa hoa văn chạm chìm ẩn hiện dưới lớp men dày, có độ trong, màu mát dịu, sâu thẳm như ngọc thạch.</w:t>
      </w:r>
    </w:p>
    <w:p w14:paraId="03A6D6E9">
      <w:pPr>
        <w:tabs>
          <w:tab w:val="left" w:pos="720"/>
        </w:tabs>
        <w:spacing w:after="0" w:line="288" w:lineRule="auto"/>
        <w:jc w:val="right"/>
        <w:rPr>
          <w:rFonts w:ascii="Times New Roman" w:hAnsi="Times New Roman" w:cs="Times New Roman"/>
          <w:b/>
          <w:sz w:val="26"/>
          <w:szCs w:val="26"/>
        </w:rPr>
      </w:pPr>
      <w:r>
        <w:rPr>
          <w:rFonts w:ascii="Times New Roman" w:hAnsi="Times New Roman" w:cs="Times New Roman"/>
          <w:b/>
          <w:sz w:val="26"/>
          <w:szCs w:val="26"/>
        </w:rPr>
        <w:t>TRẦN KHÁNH CHƯƠNG</w:t>
      </w:r>
    </w:p>
    <w:p w14:paraId="059A18BD">
      <w:pPr>
        <w:tabs>
          <w:tab w:val="left" w:pos="720"/>
        </w:tabs>
        <w:spacing w:after="0" w:line="288" w:lineRule="auto"/>
        <w:jc w:val="right"/>
        <w:rPr>
          <w:rFonts w:ascii="Times New Roman" w:hAnsi="Times New Roman" w:cs="Times New Roman"/>
          <w:b/>
          <w:sz w:val="26"/>
          <w:szCs w:val="26"/>
        </w:rPr>
      </w:pPr>
    </w:p>
    <w:p w14:paraId="366CC3A3">
      <w:pPr>
        <w:tabs>
          <w:tab w:val="left" w:pos="720"/>
        </w:tabs>
        <w:spacing w:after="0" w:line="288"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Tài liệu tham khảo :</w:t>
      </w:r>
    </w:p>
    <w:p w14:paraId="7A398DB8">
      <w:pPr>
        <w:tabs>
          <w:tab w:val="left" w:pos="720"/>
        </w:tabs>
        <w:spacing w:after="0" w:line="288" w:lineRule="auto"/>
        <w:ind w:firstLine="720"/>
        <w:jc w:val="both"/>
        <w:rPr>
          <w:rFonts w:ascii="Times New Roman" w:hAnsi="Times New Roman" w:eastAsia="Times New Roman" w:cs="Times New Roman"/>
          <w:b/>
          <w:sz w:val="24"/>
          <w:szCs w:val="24"/>
        </w:rPr>
      </w:pPr>
    </w:p>
    <w:p w14:paraId="431E084B">
      <w:pPr>
        <w:tabs>
          <w:tab w:val="left" w:pos="720"/>
        </w:tabs>
        <w:spacing w:after="0" w:line="288"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Trần Khánh Chương, </w:t>
      </w:r>
      <w:r>
        <w:rPr>
          <w:rFonts w:ascii="Times New Roman" w:hAnsi="Times New Roman" w:eastAsia="Times New Roman" w:cs="Times New Roman"/>
          <w:i/>
          <w:sz w:val="24"/>
          <w:szCs w:val="24"/>
        </w:rPr>
        <w:t>Gốm Việt Nam từ đất nung đến sứ</w:t>
      </w:r>
      <w:r>
        <w:rPr>
          <w:rFonts w:ascii="Times New Roman" w:hAnsi="Times New Roman" w:eastAsia="Times New Roman" w:cs="Times New Roman"/>
          <w:sz w:val="24"/>
          <w:szCs w:val="24"/>
        </w:rPr>
        <w:t>, Nxb. Mỹ thuật, Hà Nội, 2004.</w:t>
      </w:r>
    </w:p>
    <w:p w14:paraId="7230F9B0">
      <w:pPr>
        <w:tabs>
          <w:tab w:val="left" w:pos="720"/>
        </w:tabs>
        <w:spacing w:after="0" w:line="288"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Bùi Minh Trí, Kerry Nguyễn - Long, </w:t>
      </w:r>
      <w:r>
        <w:rPr>
          <w:rFonts w:ascii="Times New Roman" w:hAnsi="Times New Roman" w:eastAsia="Times New Roman" w:cs="Times New Roman"/>
          <w:i/>
          <w:sz w:val="24"/>
          <w:szCs w:val="24"/>
        </w:rPr>
        <w:t>Gốm hoa Lam Việt Nam</w:t>
      </w:r>
      <w:r>
        <w:rPr>
          <w:rFonts w:ascii="Times New Roman" w:hAnsi="Times New Roman" w:eastAsia="Times New Roman" w:cs="Times New Roman"/>
          <w:sz w:val="24"/>
          <w:szCs w:val="24"/>
        </w:rPr>
        <w:t>, Nxb. Khoa học Xã hội, Hà Nội.</w:t>
      </w:r>
    </w:p>
    <w:p w14:paraId="5BE7C9F9">
      <w:pPr>
        <w:tabs>
          <w:tab w:val="left" w:pos="720"/>
        </w:tabs>
        <w:spacing w:after="0" w:line="288"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Phạm Quốc Quân, Nguyễn Đình Chiến, </w:t>
      </w:r>
      <w:r>
        <w:rPr>
          <w:rFonts w:ascii="Times New Roman" w:hAnsi="Times New Roman" w:eastAsia="Times New Roman" w:cs="Times New Roman"/>
          <w:i/>
          <w:sz w:val="24"/>
          <w:szCs w:val="24"/>
        </w:rPr>
        <w:t>Gốm hoa nâu Việt Nam</w:t>
      </w:r>
      <w:r>
        <w:rPr>
          <w:rFonts w:ascii="Times New Roman" w:hAnsi="Times New Roman" w:eastAsia="Times New Roman" w:cs="Times New Roman"/>
          <w:sz w:val="24"/>
          <w:szCs w:val="24"/>
        </w:rPr>
        <w:t>, Bảo tàng lịch sử Việt Nam, 2005.</w:t>
      </w:r>
    </w:p>
    <w:p w14:paraId="1F5B9FBE">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6346E80"/>
    <w:rsid w:val="1D646B68"/>
    <w:rsid w:val="301A704D"/>
    <w:rsid w:val="34C641A3"/>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2026-07-03T02:48:43Z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